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115</w:t>
      </w:r>
    </w:p>
    <w:p>
      <w:r>
        <w:t>Bundesgericht (BGE), 2000-12-08, IT</w:t>
      </w:r>
    </w:p>
    <w:p>
      <w:r>
        <w:rPr>
          <w:b/>
        </w:rPr>
        <w:t xml:space="preserve">Quelle: </w:t>
      </w:r>
      <w:r>
        <w:t>https://mcp.opencaselaw.ch/entscheid/bge_127 III 115</w:t>
      </w:r>
    </w:p>
    <w:p>
      <w:r>
        <w:t>FR: ATF 127 III 115</w:t>
      </w:r>
    </w:p>
    <w:p>
      <w:r>
        <w:t>IT: DTF 127 III 115</w:t>
      </w:r>
    </w:p>
    <w:p>
      <w:pPr>
        <w:pStyle w:val="Heading2"/>
      </w:pPr>
      <w:r>
        <w:t>Regeste</w:t>
      </w:r>
    </w:p>
    <w:p>
      <w:r>
        <w:t>Regeste Art. 106 ff., Art. 153 Abs. 2 lit. a und Art. 155 SchKG; Zustellung eines Zahlungsbefehls an den Dritteigentümer des Pfandes. Nur wer wirklich Eigentümer des Pfandes ist, hat gestützt auf Art. 153 Abs. 2 lit. a SchKG Anspruch auf Zustellung eines Zahlungsbefehls. Die Feststellung der Eigentümerschaft fällt grundsätzlich nicht in die Zuständigkeit der Aufsichtsbehörde, sondern ist zum Gegenstand eines Widerspruchsprozesses zu machen (Bestätigung der Rechtsprechung).</w:t>
      </w:r>
    </w:p>
    <w:p>
      <w:pPr>
        <w:pStyle w:val="Heading2"/>
      </w:pPr>
      <w:r>
        <w:t>Erwägungen</w:t>
      </w:r>
    </w:p>
    <w:p>
      <w:r>
        <w:rPr>
          <w:b/>
        </w:rPr>
        <w:t>E. 3</w:t>
      </w:r>
    </w:p>
    <w:p>
      <w:r>
        <w:t>Giusta l' art. 153 cpv. 2 lett. a LEF l'Ufficio notifica il precetto anche al terzo che ha costituito il pegno o ne è diventato proprietario. Unicamente colui che è effettivamente proprietario o comproprietario del pegno ha diritto a ricevere un precetto ( DTF 48 III 36 consid. 3 pag. 39 in alto, DTF 77 III 30 consid. 2 pag. 32). L'Ufficio notifica al terzo il precetto se lo stesso creditore procedente lo indica quale proprietario del pegno o se il suo diritto di proprietà risulta dal registro fondiario o è stato accertato giudizialmente ( DTF 48 III 36 consid. 3 pag. 39 seg., DTF 72 III 14 pag. 19 in alto; art. 88 RFF [RS 281.42]). Se nessuna di queste eventualità si avvera, trattasi di una questione di diritto materiale da risolvere con la procedura di rivendicazione ai sensi degli art. 106 segg. LEF ( DTF 48 III 36 consid. 3 pag. 39 seg., DTF 72 III 14 pag. 19 in alto; SCHELLENBERG, Die Rechtsstellung des Dritteigentümers in der Betreibung auf Pfandverwertung, tesi Zurigo 1968, pag. 57; cfr. anche KÄNZIG/BERNHEIM, Commento basilese, SchKG II, n. 25 all' art. 155 LEF ). Scopo della procedura di rivendicazione è infatti di chiarire la situazione, qualora terzi avanzino diritti sui beni oggetto della procedura di esecuzione (AMONN/GASSER, Grundriss des Schuldbetreibungs- und Konkursrechts, 6a ed., § 24 n. 5) ed essa va segnatamente aperta per determinare se un precetto esecutivo dev'essere notificato a un terzo che fa valere pretese sul pegno (GILLIÉRON, Commentaire de la loi fédérale sur la poursuite pour dettes et la faillite, n. 39 all' art. 155 LEF ). Nella fattispecie, trattandosi di un pegno manuale, non sussiste alcuna iscrizione a registro fondiario riguardante la sua proprietà né la qui ricorrente indica la controparte quale comproprietaria né sussiste una sentenza giudiziaria sulla questione. In queste condizioni, non compete all'autorità di vigilanza accertare, anche solo implicitamente, la comproprietà della controparte sulle cartelle ipotecarie oggetto del pegno manuale. Se i giudici cantonali, come pare in concreto, ritengono che con il ricorso quest'ultima abbia fatto valere la BGE 127 III 115 S. 117 sua (com)proprietà sul pegno, il rimedio dev'essere ritornato all'Ufficio affinché lo tratti quale rivendicazione ai sensi degli art. 106 segg. Se al termine di tale procedura la pretesa della terza rivendicante dovesse essere riconosciuta o accertata giudizialmente, essa ha diritto alla notifica di un precetto esecutivo. Ne segue che la sentenza dev'essere annullata nella misura in cui ordina all'Ufficio di esecuzione di notificare un precetto esecutivo alla controparte. La decisione cantonale va invece confermata laddove annulla l'incanto, essendo la procedura di realizzazione sospesa per la durata di quella di rivendicazione ( art. 109 cpv. 5 LEF applicato per analogia in virtù dell' art. 155 cpv. 1 LEF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